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83" w:rsidRDefault="00EC2683" w:rsidP="00EC2683"/>
    <w:p w:rsidR="00EC2683" w:rsidRPr="001D689D" w:rsidRDefault="00EC2683" w:rsidP="001D689D">
      <w:pPr>
        <w:jc w:val="center"/>
        <w:rPr>
          <w:rFonts w:ascii="Verdana" w:hAnsi="Verdana"/>
          <w:b/>
          <w:sz w:val="20"/>
          <w:szCs w:val="20"/>
        </w:rPr>
      </w:pPr>
      <w:r w:rsidRPr="001D689D">
        <w:rPr>
          <w:rFonts w:ascii="Verdana" w:hAnsi="Verdana"/>
          <w:b/>
          <w:sz w:val="28"/>
          <w:szCs w:val="20"/>
        </w:rPr>
        <w:t>Wzór umowy na polowanie indywidualne</w:t>
      </w:r>
    </w:p>
    <w:p w:rsidR="00EC2683" w:rsidRDefault="00EC2683" w:rsidP="00EC2683">
      <w:pPr>
        <w:jc w:val="center"/>
        <w:rPr>
          <w:b/>
        </w:rPr>
      </w:pPr>
      <w:r w:rsidRPr="009103D7">
        <w:rPr>
          <w:b/>
        </w:rPr>
        <w:t>Umowa</w:t>
      </w:r>
    </w:p>
    <w:p w:rsidR="00EC2683" w:rsidRPr="009103D7" w:rsidRDefault="00EC2683" w:rsidP="00EC2683">
      <w:pPr>
        <w:jc w:val="center"/>
        <w:rPr>
          <w:b/>
        </w:rPr>
      </w:pPr>
    </w:p>
    <w:p w:rsidR="00EC2683" w:rsidRDefault="00EC2683" w:rsidP="00EC2683">
      <w:r>
        <w:t>Zawarta w dniu  ……………..</w:t>
      </w:r>
      <w:r w:rsidRPr="00A40E89">
        <w:rPr>
          <w:b/>
        </w:rPr>
        <w:t>.201</w:t>
      </w:r>
      <w:r>
        <w:rPr>
          <w:b/>
        </w:rPr>
        <w:t>4</w:t>
      </w:r>
      <w:r w:rsidRPr="00A40E89">
        <w:rPr>
          <w:b/>
        </w:rPr>
        <w:t xml:space="preserve"> r. w </w:t>
      </w:r>
      <w:r>
        <w:rPr>
          <w:b/>
        </w:rPr>
        <w:t>Sulęcinie</w:t>
      </w:r>
      <w:r>
        <w:t>, pomiędzy:</w:t>
      </w:r>
    </w:p>
    <w:p w:rsidR="00EC2683" w:rsidRDefault="00EC2683" w:rsidP="00EC2683">
      <w:r>
        <w:t xml:space="preserve"> </w:t>
      </w:r>
      <w:r w:rsidRPr="009103D7">
        <w:rPr>
          <w:b/>
        </w:rPr>
        <w:t xml:space="preserve">Skarb Państwa – PGL LP </w:t>
      </w:r>
      <w:r>
        <w:rPr>
          <w:b/>
        </w:rPr>
        <w:t xml:space="preserve"> Nadleśnictwo Sulęcin </w:t>
      </w:r>
      <w:r>
        <w:t>ul. Lipowa 20 69-200 Sulęcin</w:t>
      </w:r>
      <w:r w:rsidRPr="009103D7">
        <w:rPr>
          <w:b/>
        </w:rPr>
        <w:t>,</w:t>
      </w:r>
      <w:r>
        <w:t xml:space="preserve"> reprezentowanym przez </w:t>
      </w:r>
      <w:r w:rsidRPr="009103D7">
        <w:rPr>
          <w:b/>
        </w:rPr>
        <w:t xml:space="preserve">Nadleśniczego, </w:t>
      </w:r>
      <w:r>
        <w:t xml:space="preserve">mgr inż. Witold </w:t>
      </w:r>
      <w:proofErr w:type="spellStart"/>
      <w:r>
        <w:t>Wasylków</w:t>
      </w:r>
      <w:proofErr w:type="spellEnd"/>
      <w:r w:rsidRPr="009103D7">
        <w:rPr>
          <w:b/>
        </w:rPr>
        <w:t>,</w:t>
      </w:r>
      <w:r>
        <w:t xml:space="preserve"> zwanym w treści umowy „Sprzedawcą”,</w:t>
      </w:r>
    </w:p>
    <w:p w:rsidR="00EC2683" w:rsidRDefault="00EC2683" w:rsidP="00EC2683">
      <w:pPr>
        <w:jc w:val="center"/>
      </w:pPr>
      <w:r>
        <w:t>a</w:t>
      </w:r>
    </w:p>
    <w:p w:rsidR="00EC2683" w:rsidRDefault="00EC2683" w:rsidP="00EC2683">
      <w:r w:rsidRPr="009103D7">
        <w:rPr>
          <w:b/>
        </w:rPr>
        <w:t xml:space="preserve">Biuro Polowań </w:t>
      </w:r>
      <w:r>
        <w:rPr>
          <w:b/>
        </w:rPr>
        <w:t>………………………………</w:t>
      </w:r>
      <w:r>
        <w:t xml:space="preserve">  , reprezentowanym przez  </w:t>
      </w:r>
      <w:r>
        <w:rPr>
          <w:b/>
        </w:rPr>
        <w:t>……………………………………….</w:t>
      </w:r>
      <w:r w:rsidRPr="005E1A66">
        <w:t xml:space="preserve">, będącego osobą uprawnioną do reprezentowania  </w:t>
      </w:r>
      <w:r>
        <w:t>………………………….</w:t>
      </w:r>
      <w:r w:rsidRPr="005E1A66">
        <w:t xml:space="preserve"> na podstawie wpisu do Ewidencji Działalności Gospodarczej nr </w:t>
      </w:r>
      <w:r>
        <w:t>………….</w:t>
      </w:r>
      <w:r w:rsidRPr="005E1A66">
        <w:t xml:space="preserve"> (dokonany przez </w:t>
      </w:r>
      <w:r>
        <w:t>……………………………….</w:t>
      </w:r>
      <w:r w:rsidRPr="005E1A66">
        <w:t>)zwanym</w:t>
      </w:r>
      <w:r>
        <w:t xml:space="preserve"> dalej w treści umowy „Kupującym”, następującej treści:</w:t>
      </w:r>
    </w:p>
    <w:p w:rsidR="00EC2683" w:rsidRDefault="00EC2683" w:rsidP="00EC2683"/>
    <w:p w:rsidR="00EC2683" w:rsidRDefault="00EC2683" w:rsidP="00EC2683">
      <w:pPr>
        <w:jc w:val="center"/>
      </w:pPr>
      <w:r>
        <w:t>§1</w:t>
      </w:r>
    </w:p>
    <w:p w:rsidR="00EC2683" w:rsidRPr="00A40E89" w:rsidRDefault="00EC2683" w:rsidP="00EC2683">
      <w:pPr>
        <w:pStyle w:val="Akapitzlist"/>
        <w:numPr>
          <w:ilvl w:val="0"/>
          <w:numId w:val="7"/>
        </w:numPr>
        <w:tabs>
          <w:tab w:val="left" w:pos="720"/>
        </w:tabs>
        <w:jc w:val="both"/>
        <w:rPr>
          <w:b/>
        </w:rPr>
      </w:pPr>
      <w:r w:rsidRPr="00A40E89">
        <w:rPr>
          <w:b/>
        </w:rPr>
        <w:t>Sprzedawca</w:t>
      </w:r>
      <w:r>
        <w:t xml:space="preserve"> zobowiązuje się zorganizować dla Kupującego polowania indywidualne </w:t>
      </w:r>
      <w:r>
        <w:br/>
        <w:t>w obwodach łowieckich: nr 83 w dniach od ………..</w:t>
      </w:r>
      <w:r w:rsidRPr="00A40E89">
        <w:rPr>
          <w:b/>
        </w:rPr>
        <w:t>.201</w:t>
      </w:r>
      <w:r>
        <w:rPr>
          <w:b/>
        </w:rPr>
        <w:t>4</w:t>
      </w:r>
      <w:r w:rsidRPr="00A40E89">
        <w:rPr>
          <w:b/>
        </w:rPr>
        <w:t xml:space="preserve"> r. do</w:t>
      </w:r>
      <w:r>
        <w:rPr>
          <w:b/>
        </w:rPr>
        <w:t>…………</w:t>
      </w:r>
      <w:r w:rsidRPr="00A40E89">
        <w:rPr>
          <w:b/>
        </w:rPr>
        <w:t>.201</w:t>
      </w:r>
      <w:r>
        <w:rPr>
          <w:b/>
        </w:rPr>
        <w:t xml:space="preserve">4 </w:t>
      </w:r>
      <w:r w:rsidRPr="00E05835">
        <w:t>(</w:t>
      </w:r>
      <w:r>
        <w:t>….</w:t>
      </w:r>
      <w:r w:rsidRPr="00E05835">
        <w:t xml:space="preserve"> dni polowania).</w:t>
      </w:r>
    </w:p>
    <w:p w:rsidR="00EC2683" w:rsidRDefault="00EC2683" w:rsidP="00EC2683">
      <w:pPr>
        <w:pStyle w:val="Akapitzlist"/>
        <w:numPr>
          <w:ilvl w:val="0"/>
          <w:numId w:val="7"/>
        </w:numPr>
        <w:tabs>
          <w:tab w:val="left" w:pos="720"/>
        </w:tabs>
        <w:jc w:val="both"/>
      </w:pPr>
      <w:r>
        <w:t xml:space="preserve">Przedmiotem polowań będą następujące gatunki zwierzyny: </w:t>
      </w:r>
    </w:p>
    <w:p w:rsidR="00EC2683" w:rsidRPr="00A40E89" w:rsidRDefault="00EC2683" w:rsidP="00EC2683">
      <w:pPr>
        <w:pStyle w:val="Akapitzlist"/>
        <w:jc w:val="both"/>
        <w:rPr>
          <w:b/>
        </w:rPr>
      </w:pPr>
      <w:r>
        <w:rPr>
          <w:b/>
        </w:rPr>
        <w:t>…………………………………………………..</w:t>
      </w:r>
    </w:p>
    <w:p w:rsidR="00EC2683" w:rsidRDefault="00EC2683" w:rsidP="00EC2683">
      <w:pPr>
        <w:pStyle w:val="Akapitzlist"/>
        <w:numPr>
          <w:ilvl w:val="0"/>
          <w:numId w:val="7"/>
        </w:numPr>
        <w:tabs>
          <w:tab w:val="left" w:pos="720"/>
        </w:tabs>
        <w:jc w:val="both"/>
      </w:pPr>
      <w:r w:rsidRPr="00205E3E">
        <w:t xml:space="preserve">Sprzedawca zapewnia udział podprowadzającego w polowaniach (jeden podprowadzający na jednego myśliwego) oraz na życzenie transport myśliwych do łowiska i z łowiska, z miejsca </w:t>
      </w:r>
      <w:r w:rsidRPr="00106C66">
        <w:t>zakwaterowania wskazanego w ust. 4</w:t>
      </w:r>
      <w:r w:rsidRPr="00205E3E">
        <w:t xml:space="preserve">  </w:t>
      </w:r>
    </w:p>
    <w:p w:rsidR="00EC2683" w:rsidRPr="00205E3E" w:rsidRDefault="00EC2683" w:rsidP="00EC2683">
      <w:pPr>
        <w:pStyle w:val="Akapitzlist"/>
        <w:numPr>
          <w:ilvl w:val="0"/>
          <w:numId w:val="7"/>
        </w:numPr>
        <w:tabs>
          <w:tab w:val="left" w:pos="720"/>
        </w:tabs>
        <w:jc w:val="both"/>
      </w:pPr>
      <w:r>
        <w:t>Z</w:t>
      </w:r>
      <w:r w:rsidRPr="00205E3E">
        <w:t xml:space="preserve">akwaterowanie oraz wyżywienie </w:t>
      </w:r>
      <w:r>
        <w:t xml:space="preserve"> organizuje Kupujący.</w:t>
      </w:r>
    </w:p>
    <w:p w:rsidR="00EC2683" w:rsidRDefault="00EC2683" w:rsidP="00EC2683">
      <w:pPr>
        <w:pStyle w:val="Akapitzlist"/>
        <w:numPr>
          <w:ilvl w:val="0"/>
          <w:numId w:val="7"/>
        </w:numPr>
        <w:tabs>
          <w:tab w:val="left" w:pos="720"/>
        </w:tabs>
        <w:jc w:val="both"/>
      </w:pPr>
      <w:r>
        <w:t>Podstawą rozliczenia sprzedaży polowania jest oferta cenowa dla biur polowań obowiązująca w bieżącym sezonie łowieckim 2014/2015 stanowiąca załącznik nr 1 do niniejszej umowy.</w:t>
      </w:r>
    </w:p>
    <w:p w:rsidR="00EC2683" w:rsidRDefault="00EC2683" w:rsidP="00EC2683">
      <w:pPr>
        <w:pStyle w:val="Akapitzlist"/>
        <w:numPr>
          <w:ilvl w:val="0"/>
          <w:numId w:val="7"/>
        </w:numPr>
        <w:tabs>
          <w:tab w:val="left" w:pos="720"/>
        </w:tabs>
        <w:jc w:val="both"/>
      </w:pPr>
      <w:r>
        <w:t>Kupujący ponosi prawną odpowiedzialność za dopuszczenie do udziału w polowaniach klientów Kupującego nie posiadających ubezpieczenia OC i NW oraz ważnych dokumentów uprawniających do posiadania broni i wykonywania polowania, wydanych w kraju ich pochodzenia.</w:t>
      </w:r>
    </w:p>
    <w:p w:rsidR="00EC2683" w:rsidRDefault="00EC2683" w:rsidP="00EC2683">
      <w:pPr>
        <w:pStyle w:val="Akapitzlist"/>
        <w:numPr>
          <w:ilvl w:val="0"/>
          <w:numId w:val="7"/>
        </w:numPr>
        <w:tabs>
          <w:tab w:val="left" w:pos="720"/>
        </w:tabs>
        <w:jc w:val="both"/>
      </w:pPr>
      <w:r>
        <w:t xml:space="preserve">Kupujący zobowiązany jest zaznajomić myśliwych z zasadami i warunkami polowań określonymi w przepisach ustawy prawo łowieckie i aktów wykonawczych. W przypadku naruszenia przepisów przez myśliwego oraz dopuszczenia się przez myśliwego bezprawnego pozyskania zwierzyny (w szczególności w razie dokonania odstrzału bez lub wbrew wskazaniom podprowadzającego) Kupujący zobowiązany jest zapłacić Sprzedawcy karę umowną w wysokości równej ekwiwalentowi obliczonemu zgodnie z  rozporządzeniem Ministra Środowiska z dnia 21 czerwca 2005r. w sprawie zwierzyny bezprawnie pozyskanej (Dz.U.2005.116.981). Zwierzyna bezprawnie pozyskana zostanie wyszczególniona </w:t>
      </w:r>
      <w:r>
        <w:br/>
        <w:t xml:space="preserve">w protokołach z polowań oraz w notach księgowych obciążających Kupującego do zapłaty </w:t>
      </w:r>
      <w:r>
        <w:br/>
        <w:t>z tego tytułu. Nie wyklucza to dochodzenia dalszego odszkodowania zgodnie z niniejszą umową.</w:t>
      </w:r>
    </w:p>
    <w:p w:rsidR="00EC2683" w:rsidRDefault="00EC2683" w:rsidP="00EC2683">
      <w:pPr>
        <w:pStyle w:val="Akapitzlist"/>
        <w:numPr>
          <w:ilvl w:val="0"/>
          <w:numId w:val="7"/>
        </w:numPr>
        <w:tabs>
          <w:tab w:val="left" w:pos="720"/>
        </w:tabs>
        <w:jc w:val="both"/>
      </w:pPr>
      <w:r>
        <w:t xml:space="preserve">Kupujący zapewni kwalifikowanych tłumaczy do obsługi polowań i poniesie koszty z tym związane oraz zobowiąże tłumaczy do omówienia listy gatunków prawnie chronionych występujących na terenie obwodów </w:t>
      </w:r>
      <w:r>
        <w:lastRenderedPageBreak/>
        <w:t>łowieckich nr 83 Lista gatunków chronionych zostanie przekazana Kupującemu przez Sprzedawcę po zawarciu umowy.</w:t>
      </w:r>
    </w:p>
    <w:p w:rsidR="00EC2683" w:rsidRDefault="00EC2683" w:rsidP="00EC2683">
      <w:pPr>
        <w:jc w:val="center"/>
      </w:pPr>
    </w:p>
    <w:p w:rsidR="00EC2683" w:rsidRDefault="00EC2683" w:rsidP="00EC2683">
      <w:pPr>
        <w:jc w:val="center"/>
      </w:pPr>
      <w:r>
        <w:t>§2</w:t>
      </w:r>
    </w:p>
    <w:p w:rsidR="00EC2683" w:rsidRDefault="00EC2683" w:rsidP="00EC2683"/>
    <w:p w:rsidR="00EC2683" w:rsidRPr="00E05835" w:rsidRDefault="00EC2683" w:rsidP="00EC2683">
      <w:pPr>
        <w:numPr>
          <w:ilvl w:val="0"/>
          <w:numId w:val="12"/>
        </w:numPr>
        <w:tabs>
          <w:tab w:val="left" w:pos="360"/>
          <w:tab w:val="left" w:pos="426"/>
        </w:tabs>
        <w:suppressAutoHyphens/>
        <w:spacing w:after="200" w:line="276" w:lineRule="auto"/>
        <w:ind w:left="360"/>
        <w:jc w:val="both"/>
      </w:pPr>
      <w:r w:rsidRPr="00E05835">
        <w:t xml:space="preserve">Wartość sprzedaży polowań, o których mowa w §1 niniejszej umowy strony szacują wstępnie na kwotę: </w:t>
      </w:r>
      <w:r>
        <w:t xml:space="preserve"> ……………………….. zł </w:t>
      </w:r>
      <w:r w:rsidRPr="00E05835">
        <w:rPr>
          <w:b/>
        </w:rPr>
        <w:t>(słownie</w:t>
      </w:r>
      <w:r>
        <w:rPr>
          <w:b/>
        </w:rPr>
        <w:t xml:space="preserve">: …………………………………………….. złotych 00/100 </w:t>
      </w:r>
      <w:r w:rsidRPr="00E05835">
        <w:t xml:space="preserve">) </w:t>
      </w:r>
      <w:r>
        <w:t>z</w:t>
      </w:r>
      <w:r w:rsidRPr="00E05835">
        <w:t>awierającą podatek VAT, zgodnie z obowiązującymi przepisami.</w:t>
      </w:r>
    </w:p>
    <w:p w:rsidR="00EC2683" w:rsidRDefault="00EC2683" w:rsidP="00EC2683">
      <w:pPr>
        <w:numPr>
          <w:ilvl w:val="0"/>
          <w:numId w:val="12"/>
        </w:numPr>
        <w:tabs>
          <w:tab w:val="left" w:pos="360"/>
          <w:tab w:val="left" w:pos="426"/>
        </w:tabs>
        <w:suppressAutoHyphens/>
        <w:spacing w:after="200" w:line="276" w:lineRule="auto"/>
        <w:ind w:left="360"/>
        <w:jc w:val="both"/>
      </w:pPr>
      <w:r>
        <w:t>Kwotę wymienioną w ust. 1, stanowiącą przedpłatę Kupujący uiści w terminie do dnia 18.09.2012 r. Sprzedawca po otrzymaniu powyższej kwoty w terminie 7 dni wystawi fakturę VAT dla Kupującego.</w:t>
      </w:r>
    </w:p>
    <w:p w:rsidR="00EC2683" w:rsidRDefault="00EC2683" w:rsidP="00EC2683">
      <w:pPr>
        <w:numPr>
          <w:ilvl w:val="0"/>
          <w:numId w:val="12"/>
        </w:numPr>
        <w:tabs>
          <w:tab w:val="left" w:pos="360"/>
          <w:tab w:val="left" w:pos="426"/>
        </w:tabs>
        <w:suppressAutoHyphens/>
        <w:spacing w:after="200" w:line="276" w:lineRule="auto"/>
        <w:ind w:left="360"/>
        <w:jc w:val="both"/>
      </w:pPr>
      <w:r>
        <w:t>Rozliczenie wartości polowań nastąpi fakturą VAT w terminie 7 dni od zakończenia zamówionych przez Kupującego polowań. Ewentualną niedopłatę Kupujący zobowiązany jest uiścić w terminie 7 dni od daty wystawienia faktury końcowej.</w:t>
      </w:r>
    </w:p>
    <w:p w:rsidR="00EC2683" w:rsidRDefault="00EC2683" w:rsidP="00EC2683">
      <w:pPr>
        <w:numPr>
          <w:ilvl w:val="0"/>
          <w:numId w:val="12"/>
        </w:numPr>
        <w:tabs>
          <w:tab w:val="left" w:pos="360"/>
          <w:tab w:val="left" w:pos="426"/>
        </w:tabs>
        <w:suppressAutoHyphens/>
        <w:spacing w:after="200" w:line="276" w:lineRule="auto"/>
        <w:ind w:left="360"/>
        <w:jc w:val="both"/>
      </w:pPr>
      <w:r>
        <w:t>W przypadku nie wniesienia wpłaty, o której mowa w ust. 2 Sprzedawca ma prawo wedle swojego wyboru odmówić zorganizowania polowania bez ponoszenia dodatkowych kosztów do czasu wniesienia opłaty albo odstąpić od umowy zgodnie z dalszymi postanowieniami umowy.</w:t>
      </w:r>
    </w:p>
    <w:p w:rsidR="00EC2683" w:rsidRPr="00931553" w:rsidRDefault="00EC2683" w:rsidP="00EC2683">
      <w:pPr>
        <w:numPr>
          <w:ilvl w:val="0"/>
          <w:numId w:val="12"/>
        </w:numPr>
        <w:tabs>
          <w:tab w:val="left" w:pos="360"/>
          <w:tab w:val="left" w:pos="426"/>
        </w:tabs>
        <w:suppressAutoHyphens/>
        <w:spacing w:after="200" w:line="276" w:lineRule="auto"/>
        <w:ind w:left="360"/>
        <w:jc w:val="both"/>
        <w:rPr>
          <w:b/>
        </w:rPr>
      </w:pPr>
      <w:r>
        <w:t xml:space="preserve">Wpłaty, o których mowa w ust. 2 i 3 zostaną dokonana na konto </w:t>
      </w:r>
      <w:r>
        <w:br/>
      </w:r>
      <w:r w:rsidRPr="00931553">
        <w:rPr>
          <w:b/>
        </w:rPr>
        <w:t>Nadleśnictwa</w:t>
      </w:r>
      <w:r>
        <w:rPr>
          <w:b/>
        </w:rPr>
        <w:t>:</w:t>
      </w:r>
      <w:r w:rsidRPr="00931553">
        <w:rPr>
          <w:b/>
        </w:rPr>
        <w:t xml:space="preserve"> </w:t>
      </w:r>
      <w:r>
        <w:rPr>
          <w:b/>
        </w:rPr>
        <w:t xml:space="preserve"> Bank Pekao SA I O Sulęcin 97124036241111000030633036</w:t>
      </w:r>
    </w:p>
    <w:p w:rsidR="00EC2683" w:rsidRDefault="00EC2683" w:rsidP="00EC2683">
      <w:pPr>
        <w:numPr>
          <w:ilvl w:val="0"/>
          <w:numId w:val="11"/>
        </w:numPr>
        <w:tabs>
          <w:tab w:val="left" w:pos="360"/>
          <w:tab w:val="left" w:pos="426"/>
        </w:tabs>
        <w:suppressAutoHyphens/>
        <w:spacing w:after="200" w:line="276" w:lineRule="auto"/>
        <w:ind w:left="360"/>
        <w:jc w:val="both"/>
      </w:pPr>
      <w:r>
        <w:t>Podstawą rozliczenia polowania zamówionego przez Kupującego jest protokół z polowania podpisany przez myśliwych (ze strony Kupującego) oraz osoby upoważnione przez Sprzedawcę.</w:t>
      </w:r>
    </w:p>
    <w:p w:rsidR="00EC2683" w:rsidRDefault="00EC2683" w:rsidP="00EC2683">
      <w:pPr>
        <w:numPr>
          <w:ilvl w:val="0"/>
          <w:numId w:val="11"/>
        </w:numPr>
        <w:tabs>
          <w:tab w:val="left" w:pos="360"/>
          <w:tab w:val="left" w:pos="426"/>
        </w:tabs>
        <w:suppressAutoHyphens/>
        <w:spacing w:after="200" w:line="276" w:lineRule="auto"/>
        <w:ind w:left="360"/>
        <w:jc w:val="both"/>
      </w:pPr>
      <w:r>
        <w:t xml:space="preserve">Wyszczególniony w ust. 6 protokół stanowi podstawę wystawienia faktury </w:t>
      </w:r>
      <w:proofErr w:type="spellStart"/>
      <w:r>
        <w:t>Vat</w:t>
      </w:r>
      <w:proofErr w:type="spellEnd"/>
      <w:r>
        <w:t xml:space="preserve"> przez Sprzedawcę.</w:t>
      </w:r>
    </w:p>
    <w:p w:rsidR="00EC2683" w:rsidRDefault="00EC2683" w:rsidP="00EC2683">
      <w:pPr>
        <w:ind w:left="360"/>
        <w:jc w:val="center"/>
      </w:pPr>
      <w:r>
        <w:t>§ 3</w:t>
      </w:r>
    </w:p>
    <w:p w:rsidR="00EC2683" w:rsidRDefault="00EC2683" w:rsidP="00EC2683">
      <w:pPr>
        <w:pStyle w:val="Akapitzlist"/>
        <w:numPr>
          <w:ilvl w:val="0"/>
          <w:numId w:val="10"/>
        </w:numPr>
        <w:tabs>
          <w:tab w:val="left" w:pos="360"/>
          <w:tab w:val="left" w:pos="426"/>
        </w:tabs>
        <w:ind w:left="360"/>
        <w:jc w:val="both"/>
      </w:pPr>
      <w:r>
        <w:t>Nie wpłacenie na konto wymienione w §2 ust. 5 zapłaty wyszczególnionej w §2 ust. 2 w wymienionym terminie upoważnia Sprzedawcę do odstąpienia od umowy z winy Kupującego.</w:t>
      </w:r>
    </w:p>
    <w:p w:rsidR="00EC2683" w:rsidRDefault="00EC2683" w:rsidP="00EC2683">
      <w:pPr>
        <w:pStyle w:val="Akapitzlist"/>
        <w:numPr>
          <w:ilvl w:val="0"/>
          <w:numId w:val="10"/>
        </w:numPr>
        <w:tabs>
          <w:tab w:val="left" w:pos="360"/>
          <w:tab w:val="left" w:pos="426"/>
        </w:tabs>
        <w:ind w:left="360"/>
        <w:jc w:val="both"/>
      </w:pPr>
      <w:r>
        <w:t xml:space="preserve">W przypadku rozwiązania umowy z przyczyn wymienionych w ust. 1 Kupujący zapłaci Sprzedawcy karę umowną w wysokości  </w:t>
      </w:r>
      <w:r w:rsidRPr="00620EE0">
        <w:rPr>
          <w:b/>
        </w:rPr>
        <w:t>10%</w:t>
      </w:r>
      <w:r>
        <w:t xml:space="preserve"> od kwoty wyszczególnionej w §2 ust. 1.</w:t>
      </w:r>
    </w:p>
    <w:p w:rsidR="00EC2683" w:rsidRDefault="00EC2683" w:rsidP="00EC2683">
      <w:pPr>
        <w:pStyle w:val="Akapitzlist"/>
        <w:tabs>
          <w:tab w:val="left" w:pos="720"/>
        </w:tabs>
        <w:ind w:left="0"/>
      </w:pPr>
    </w:p>
    <w:p w:rsidR="00EC2683" w:rsidRDefault="00EC2683" w:rsidP="00EC2683">
      <w:pPr>
        <w:pStyle w:val="Akapitzlist"/>
        <w:tabs>
          <w:tab w:val="left" w:pos="720"/>
        </w:tabs>
        <w:ind w:left="0"/>
      </w:pPr>
    </w:p>
    <w:p w:rsidR="00EC2683" w:rsidRDefault="00EC2683" w:rsidP="00EC2683">
      <w:pPr>
        <w:jc w:val="center"/>
      </w:pPr>
      <w:r>
        <w:t>§ 4</w:t>
      </w:r>
    </w:p>
    <w:p w:rsidR="00EC2683" w:rsidRDefault="00EC2683" w:rsidP="00EC2683">
      <w:pPr>
        <w:pStyle w:val="Akapitzlist"/>
        <w:numPr>
          <w:ilvl w:val="0"/>
          <w:numId w:val="4"/>
        </w:numPr>
        <w:tabs>
          <w:tab w:val="clear" w:pos="432"/>
          <w:tab w:val="left" w:pos="720"/>
        </w:tabs>
        <w:ind w:left="720" w:hanging="360"/>
        <w:jc w:val="both"/>
      </w:pPr>
      <w:r>
        <w:t>Trofea myśliwskie pochodzące z upolowanej przez klientów Kupującego zwierzyny podlegają ocenie komisji powołanej przez Sprzedawcę.</w:t>
      </w:r>
    </w:p>
    <w:p w:rsidR="00EC2683" w:rsidRDefault="00EC2683" w:rsidP="00EC2683">
      <w:pPr>
        <w:pStyle w:val="Akapitzlist"/>
        <w:numPr>
          <w:ilvl w:val="0"/>
          <w:numId w:val="4"/>
        </w:numPr>
        <w:tabs>
          <w:tab w:val="clear" w:pos="432"/>
          <w:tab w:val="left" w:pos="720"/>
        </w:tabs>
        <w:ind w:left="720" w:hanging="360"/>
        <w:jc w:val="both"/>
      </w:pPr>
      <w:r>
        <w:t>Pod pojęciem trofeum rozumie się części upolowanej zwierzyny wyszczególnionej w ofercie cenowej, o której mowa w §1 ust. 5.</w:t>
      </w:r>
    </w:p>
    <w:p w:rsidR="00EC2683" w:rsidRDefault="00EC2683" w:rsidP="00EC2683">
      <w:pPr>
        <w:pStyle w:val="Akapitzlist"/>
        <w:numPr>
          <w:ilvl w:val="0"/>
          <w:numId w:val="4"/>
        </w:numPr>
        <w:tabs>
          <w:tab w:val="clear" w:pos="432"/>
          <w:tab w:val="left" w:pos="720"/>
        </w:tabs>
        <w:ind w:left="720" w:hanging="360"/>
        <w:jc w:val="both"/>
      </w:pPr>
      <w:r>
        <w:t>Trofea z upolowanej zwierzyny przez klientów Kupującego są ich własnością, za wyjątkiem trofeów rekordowych, które pozostają u Sprzedawcy.</w:t>
      </w:r>
    </w:p>
    <w:p w:rsidR="00EC2683" w:rsidRDefault="00EC2683" w:rsidP="00EC2683">
      <w:pPr>
        <w:pStyle w:val="Akapitzlist"/>
        <w:numPr>
          <w:ilvl w:val="0"/>
          <w:numId w:val="4"/>
        </w:numPr>
        <w:tabs>
          <w:tab w:val="clear" w:pos="432"/>
          <w:tab w:val="left" w:pos="720"/>
        </w:tabs>
        <w:ind w:left="720" w:hanging="360"/>
        <w:jc w:val="both"/>
      </w:pPr>
      <w:r>
        <w:lastRenderedPageBreak/>
        <w:t>Myśliwy, który odstrzelił sztukę zwierzyny o rekordowym trofeum ma prawo odstrzału drugiej sztuki tego samego gatunku zwierzyny na warunkach niniejszej umowy.</w:t>
      </w:r>
    </w:p>
    <w:p w:rsidR="00EC2683" w:rsidRDefault="00EC2683" w:rsidP="00EC2683">
      <w:pPr>
        <w:pStyle w:val="Akapitzlist"/>
        <w:numPr>
          <w:ilvl w:val="0"/>
          <w:numId w:val="4"/>
        </w:numPr>
        <w:tabs>
          <w:tab w:val="clear" w:pos="432"/>
          <w:tab w:val="left" w:pos="720"/>
        </w:tabs>
        <w:ind w:left="720" w:hanging="360"/>
        <w:jc w:val="both"/>
      </w:pPr>
      <w:r>
        <w:t>Zdobywca rekordowego trofeum może otrzymać kopię i dokumentację zdjęciową rekordu, wykonaną kosztem Sprzedawcy.</w:t>
      </w:r>
    </w:p>
    <w:p w:rsidR="00EC2683" w:rsidRDefault="00EC2683" w:rsidP="00EC2683">
      <w:pPr>
        <w:pStyle w:val="Akapitzlist"/>
        <w:numPr>
          <w:ilvl w:val="0"/>
          <w:numId w:val="4"/>
        </w:numPr>
        <w:tabs>
          <w:tab w:val="clear" w:pos="432"/>
          <w:tab w:val="left" w:pos="720"/>
        </w:tabs>
        <w:ind w:left="720" w:hanging="360"/>
        <w:jc w:val="both"/>
      </w:pPr>
      <w:r>
        <w:t>Pod pojęciem trofeum rekordowego rozumie się trofea zwierzyny grubej, które ocenione przez Komisję Wyceny Trofeów uzyskały wg. punktacji CIC, liczbę punków równą lub wyższą od szóstego miejsca na liście aktualnych rekordów Polski.</w:t>
      </w:r>
    </w:p>
    <w:p w:rsidR="00EC2683" w:rsidRDefault="00EC2683" w:rsidP="00EC2683">
      <w:pPr>
        <w:pStyle w:val="Akapitzlist"/>
        <w:numPr>
          <w:ilvl w:val="0"/>
          <w:numId w:val="4"/>
        </w:numPr>
        <w:tabs>
          <w:tab w:val="clear" w:pos="432"/>
          <w:tab w:val="left" w:pos="720"/>
        </w:tabs>
        <w:ind w:left="720" w:hanging="360"/>
        <w:jc w:val="both"/>
      </w:pPr>
      <w:r>
        <w:t>Trofea, o których mowa w ust. 3 i 4 będą odpowiednio spreparowane i zabezpieczone przed zepsuciem, przez Sprzedawcę.</w:t>
      </w:r>
    </w:p>
    <w:p w:rsidR="00EC2683" w:rsidRDefault="00EC2683" w:rsidP="00EC2683">
      <w:pPr>
        <w:pStyle w:val="Akapitzlist"/>
        <w:numPr>
          <w:ilvl w:val="0"/>
          <w:numId w:val="4"/>
        </w:numPr>
        <w:tabs>
          <w:tab w:val="clear" w:pos="432"/>
          <w:tab w:val="left" w:pos="720"/>
        </w:tabs>
        <w:ind w:left="720" w:hanging="360"/>
        <w:jc w:val="both"/>
      </w:pPr>
      <w:r>
        <w:t xml:space="preserve">Tusze upolowanej zwierzyny stanowią własność Sprzedawcy. Klienci Kupującego mogą zakupić tusze i skóry po cenach obowiązującej oferty cenowej, o której mowa w §1 ust. 4 </w:t>
      </w:r>
      <w:r>
        <w:rPr>
          <w:i/>
        </w:rPr>
        <w:t xml:space="preserve">(lub 5 jeśli OHZ posiada kwaterę myśliwską) </w:t>
      </w:r>
      <w:r>
        <w:t xml:space="preserve">niniejszej umowy. </w:t>
      </w:r>
    </w:p>
    <w:p w:rsidR="00EC2683" w:rsidRDefault="00EC2683" w:rsidP="00EC2683">
      <w:pPr>
        <w:pStyle w:val="Akapitzlist"/>
        <w:jc w:val="center"/>
      </w:pPr>
      <w:r>
        <w:t>§5</w:t>
      </w:r>
    </w:p>
    <w:p w:rsidR="00EC2683" w:rsidRDefault="00EC2683" w:rsidP="00EC2683">
      <w:pPr>
        <w:pStyle w:val="Akapitzlist"/>
        <w:numPr>
          <w:ilvl w:val="0"/>
          <w:numId w:val="8"/>
        </w:numPr>
        <w:tabs>
          <w:tab w:val="left" w:pos="720"/>
        </w:tabs>
        <w:jc w:val="both"/>
      </w:pPr>
      <w:r>
        <w:t xml:space="preserve">Za wszelkie szkody powstałe z niewłaściwego wykonywania polowań przez klientów Kupującego odpowiedzialność ponosi Kupujący. Wartość ewentualnych szkód zostanie oceniona protokolarnie przez strony, a protokół stanowić będzie podstawę do wypłaty odszkodowania. </w:t>
      </w:r>
    </w:p>
    <w:p w:rsidR="00EC2683" w:rsidRDefault="00EC2683" w:rsidP="00EC2683">
      <w:pPr>
        <w:pStyle w:val="Akapitzlist"/>
        <w:numPr>
          <w:ilvl w:val="0"/>
          <w:numId w:val="8"/>
        </w:numPr>
        <w:tabs>
          <w:tab w:val="left" w:pos="720"/>
        </w:tabs>
        <w:jc w:val="both"/>
      </w:pPr>
      <w:r>
        <w:t xml:space="preserve">Kupujący swoim staraniem zapewni niedopuszczenie do wykonywania polowania klientów nie przestrzegających przepisów ustawy z dnia 13.10.1995r. „Prawo Łowieckie” tj. (Dz.U.2005 Nr 127 poz. 1066 z </w:t>
      </w:r>
      <w:proofErr w:type="spellStart"/>
      <w:r>
        <w:t>późn</w:t>
      </w:r>
      <w:proofErr w:type="spellEnd"/>
      <w:r>
        <w:t>. zm.) i aktów wykonawczych do tej ustawy oraz przepisów prawnych o ochronie przyrody.</w:t>
      </w:r>
    </w:p>
    <w:p w:rsidR="00EC2683" w:rsidRDefault="00EC2683" w:rsidP="00EC2683">
      <w:pPr>
        <w:pStyle w:val="Akapitzlist"/>
        <w:numPr>
          <w:ilvl w:val="0"/>
          <w:numId w:val="8"/>
        </w:numPr>
        <w:tabs>
          <w:tab w:val="left" w:pos="720"/>
        </w:tabs>
        <w:jc w:val="both"/>
      </w:pPr>
      <w:r>
        <w:t>Sprzedawca ostrzega Kupującego przed szkodami, mogącymi wystąpić podczas wykonywania polowania tj. pożarami i skutkami nieprzewidzianych warunków atmosferycznych/ wichury, burze, itp. / oraz innymi nieprzewidzianymi w zamówieniu polowania okolicznościami w postaci nieszczęśliwych wypadków, za które nie będzie ponosić odpowiedzialności za szkody w mieniu i na zdrowiu klientów Kupującego.</w:t>
      </w:r>
    </w:p>
    <w:p w:rsidR="00EC2683" w:rsidRDefault="00EC2683" w:rsidP="00EC2683">
      <w:pPr>
        <w:pStyle w:val="Akapitzlist"/>
        <w:numPr>
          <w:ilvl w:val="0"/>
          <w:numId w:val="8"/>
        </w:numPr>
        <w:tabs>
          <w:tab w:val="left" w:pos="720"/>
        </w:tabs>
      </w:pPr>
      <w:r>
        <w:t xml:space="preserve">Strony nie ponoszą odpowiedzialności za skutki częściowego albo całkowitego niedotrzymania warunków tej umowy, jeżeli z przyczyn „sił wyższych” (katastrofy naturalne, akty prawne władz państwowych i samorządowych), nastąpi niedotrzymanie warunków tej umowy. Wystąpienie „siły wyższej” należy stosownie udowodnić. </w:t>
      </w:r>
    </w:p>
    <w:p w:rsidR="00EC2683" w:rsidRDefault="00EC2683" w:rsidP="00EC2683">
      <w:pPr>
        <w:pStyle w:val="Akapitzlist"/>
        <w:numPr>
          <w:ilvl w:val="0"/>
          <w:numId w:val="8"/>
        </w:numPr>
        <w:tabs>
          <w:tab w:val="left" w:pos="720"/>
        </w:tabs>
      </w:pPr>
      <w:r>
        <w:t>W przypadku spadku pogłowia zwierzyny wskutek anomalii pogodowych, chorób zwierzyny, klęsk żywiołowych i innych okoliczności Sprzedawcy przysługuje prawo wycofania oferty, częściowo, względnie w całości, bez ponoszenia odpowiedzialności odszkodowawczej</w:t>
      </w:r>
    </w:p>
    <w:p w:rsidR="00EC2683" w:rsidRDefault="00EC2683" w:rsidP="00EC2683">
      <w:pPr>
        <w:jc w:val="center"/>
      </w:pPr>
      <w:r>
        <w:t>§6</w:t>
      </w:r>
    </w:p>
    <w:p w:rsidR="00EC2683" w:rsidRDefault="00EC2683" w:rsidP="00EC2683">
      <w:pPr>
        <w:pStyle w:val="Akapitzlist"/>
        <w:tabs>
          <w:tab w:val="left" w:pos="1440"/>
        </w:tabs>
        <w:spacing w:line="240" w:lineRule="auto"/>
      </w:pPr>
    </w:p>
    <w:p w:rsidR="00EC2683" w:rsidRDefault="00EC2683" w:rsidP="00EC2683">
      <w:pPr>
        <w:pStyle w:val="Akapitzlist"/>
        <w:tabs>
          <w:tab w:val="left" w:pos="1440"/>
        </w:tabs>
        <w:spacing w:line="240" w:lineRule="auto"/>
      </w:pPr>
      <w:r>
        <w:t xml:space="preserve">Sprzedawca ma prawo przerwać wykonywanie polowania przez klientów Kupującego dla jednego lub więcej jego uczestników, w przypadkach rażącego naruszenia przez nich przepisów ustawy dnia 13.10.1995r. „Prawo Łowieckie” oraz rozporządzenia Ministra Środowiska z dnia 23 marca 2005r. w sprawie szczególnych zasad i warunków wykonywania polowania i znakowania tusz (Dz.U.2005 Nr 61, poz.548) </w:t>
      </w:r>
    </w:p>
    <w:p w:rsidR="00EC2683" w:rsidRDefault="00EC2683" w:rsidP="00EC2683">
      <w:pPr>
        <w:spacing w:line="240" w:lineRule="auto"/>
      </w:pPr>
    </w:p>
    <w:p w:rsidR="00EC2683" w:rsidRDefault="00EC2683" w:rsidP="00EC2683">
      <w:pPr>
        <w:tabs>
          <w:tab w:val="left" w:pos="1278"/>
          <w:tab w:val="left" w:pos="1419"/>
          <w:tab w:val="left" w:pos="2412"/>
        </w:tabs>
        <w:spacing w:line="240" w:lineRule="auto"/>
        <w:ind w:left="426" w:hanging="426"/>
        <w:jc w:val="center"/>
        <w:rPr>
          <w:rFonts w:cs="Arial"/>
          <w:bCs/>
        </w:rPr>
      </w:pPr>
      <w:r>
        <w:rPr>
          <w:rFonts w:cs="Arial"/>
          <w:bCs/>
        </w:rPr>
        <w:t>§7</w:t>
      </w:r>
    </w:p>
    <w:p w:rsidR="00EC2683" w:rsidRDefault="00EC2683" w:rsidP="00EC2683">
      <w:pPr>
        <w:numPr>
          <w:ilvl w:val="0"/>
          <w:numId w:val="9"/>
        </w:numPr>
        <w:tabs>
          <w:tab w:val="left" w:pos="720"/>
        </w:tabs>
        <w:suppressAutoHyphens/>
        <w:spacing w:after="200" w:line="276" w:lineRule="auto"/>
        <w:rPr>
          <w:rFonts w:cs="Arial"/>
          <w:bCs/>
        </w:rPr>
      </w:pPr>
      <w:r>
        <w:rPr>
          <w:rFonts w:cs="Arial"/>
          <w:bCs/>
        </w:rPr>
        <w:t>Wszelkie zmiany niniejszej Umowy wymagają formy pisemnej pod rygorem nieważności.</w:t>
      </w:r>
    </w:p>
    <w:p w:rsidR="00EC2683" w:rsidRDefault="00EC2683" w:rsidP="00EC2683">
      <w:pPr>
        <w:numPr>
          <w:ilvl w:val="0"/>
          <w:numId w:val="9"/>
        </w:numPr>
        <w:tabs>
          <w:tab w:val="left" w:pos="720"/>
        </w:tabs>
        <w:suppressAutoHyphens/>
        <w:spacing w:after="200" w:line="276" w:lineRule="auto"/>
        <w:rPr>
          <w:rFonts w:cs="Arial"/>
        </w:rPr>
      </w:pPr>
      <w:r>
        <w:rPr>
          <w:rFonts w:cs="Arial"/>
        </w:rPr>
        <w:lastRenderedPageBreak/>
        <w:t>W zakresie nieuregulowanym w niniejszej Umowie zastosowanie znajdą odpowiednie przepisy kodeksu cywilnego.</w:t>
      </w:r>
    </w:p>
    <w:p w:rsidR="00EC2683" w:rsidRDefault="00EC2683" w:rsidP="00EC2683">
      <w:pPr>
        <w:numPr>
          <w:ilvl w:val="0"/>
          <w:numId w:val="9"/>
        </w:numPr>
        <w:tabs>
          <w:tab w:val="left" w:pos="720"/>
        </w:tabs>
        <w:suppressAutoHyphens/>
        <w:spacing w:after="200" w:line="276" w:lineRule="auto"/>
        <w:rPr>
          <w:rFonts w:cs="Arial"/>
        </w:rPr>
      </w:pPr>
      <w:r>
        <w:rPr>
          <w:rFonts w:cs="Arial"/>
        </w:rPr>
        <w:t>Wszelkie spory wynikające z niniejszej umowy będą rozpatrywane przez Sąd właściwy dla siedziby Sprzedającego.</w:t>
      </w:r>
    </w:p>
    <w:p w:rsidR="00EC2683" w:rsidRDefault="00EC2683" w:rsidP="00EC2683">
      <w:pPr>
        <w:numPr>
          <w:ilvl w:val="0"/>
          <w:numId w:val="9"/>
        </w:numPr>
        <w:tabs>
          <w:tab w:val="left" w:pos="720"/>
        </w:tabs>
        <w:suppressAutoHyphens/>
        <w:spacing w:after="200" w:line="276" w:lineRule="auto"/>
        <w:rPr>
          <w:rFonts w:cs="Arial"/>
        </w:rPr>
      </w:pPr>
      <w:r>
        <w:rPr>
          <w:rFonts w:cs="Arial"/>
        </w:rPr>
        <w:t>Umowa niniejsza sporządzona została w języku polskim, w dwóch jednobrzmiących egzemplarzach, po jednym dla każdej ze stron.</w:t>
      </w:r>
    </w:p>
    <w:p w:rsidR="00EC2683" w:rsidRDefault="00EC2683" w:rsidP="00EC2683">
      <w:pPr>
        <w:tabs>
          <w:tab w:val="left" w:pos="1278"/>
          <w:tab w:val="left" w:pos="1419"/>
          <w:tab w:val="left" w:pos="2412"/>
        </w:tabs>
        <w:spacing w:line="240" w:lineRule="auto"/>
        <w:ind w:left="426" w:hanging="426"/>
        <w:jc w:val="both"/>
        <w:rPr>
          <w:rFonts w:cs="Arial"/>
        </w:rPr>
      </w:pPr>
    </w:p>
    <w:p w:rsidR="00EC2683" w:rsidRDefault="00EC2683" w:rsidP="00EC2683">
      <w:pPr>
        <w:spacing w:line="240" w:lineRule="auto"/>
      </w:pPr>
    </w:p>
    <w:p w:rsidR="00EC2683" w:rsidRDefault="00EC2683" w:rsidP="00EC2683">
      <w:pPr>
        <w:spacing w:line="240" w:lineRule="auto"/>
        <w:ind w:firstLine="360"/>
      </w:pPr>
      <w:r>
        <w:t>Sprzedawca:                                                                                                                        Kupujący:</w:t>
      </w:r>
    </w:p>
    <w:p w:rsidR="00EC2683" w:rsidRDefault="00EC2683" w:rsidP="00EC2683">
      <w:pPr>
        <w:spacing w:line="240" w:lineRule="auto"/>
      </w:pPr>
    </w:p>
    <w:p w:rsidR="00EC2683" w:rsidRDefault="00EC2683" w:rsidP="00EC2683">
      <w:pPr>
        <w:pStyle w:val="Akapitzlist"/>
        <w:spacing w:line="240" w:lineRule="auto"/>
      </w:pPr>
    </w:p>
    <w:p w:rsidR="00EC2683" w:rsidRDefault="00EC2683" w:rsidP="00EC2683"/>
    <w:p w:rsidR="00EC2683" w:rsidRDefault="00EC2683" w:rsidP="00EC2683">
      <w:pPr>
        <w:jc w:val="both"/>
      </w:pPr>
    </w:p>
    <w:p w:rsidR="00EC2683" w:rsidRDefault="00EC2683" w:rsidP="00EC2683">
      <w:pPr>
        <w:jc w:val="both"/>
      </w:pPr>
    </w:p>
    <w:p w:rsidR="00EC2683" w:rsidRDefault="00EC2683" w:rsidP="00EC2683">
      <w:pPr>
        <w:jc w:val="both"/>
      </w:pPr>
    </w:p>
    <w:p w:rsidR="00EC2683" w:rsidRDefault="00EC2683" w:rsidP="00EC2683">
      <w:pPr>
        <w:jc w:val="both"/>
      </w:pPr>
    </w:p>
    <w:p w:rsidR="00EC2683" w:rsidRDefault="00EC2683"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1D689D" w:rsidRDefault="001D689D" w:rsidP="00EC2683"/>
    <w:p w:rsidR="00EC2683" w:rsidRDefault="00EC2683" w:rsidP="00EC2683">
      <w:bookmarkStart w:id="0" w:name="_GoBack"/>
      <w:bookmarkEnd w:id="0"/>
    </w:p>
    <w:sectPr w:rsidR="00EC2683" w:rsidSect="00BB3432">
      <w:footerReference w:type="even" r:id="rId9"/>
      <w:footerReference w:type="default" r:id="rId10"/>
      <w:footerReference w:type="first" r:id="rId11"/>
      <w:pgSz w:w="11904" w:h="16824"/>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1B" w:rsidRDefault="00FA681B" w:rsidP="004C083E">
      <w:pPr>
        <w:spacing w:after="0" w:line="240" w:lineRule="auto"/>
      </w:pPr>
      <w:r>
        <w:separator/>
      </w:r>
    </w:p>
  </w:endnote>
  <w:endnote w:type="continuationSeparator" w:id="0">
    <w:p w:rsidR="00FA681B" w:rsidRDefault="00FA681B" w:rsidP="004C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E" w:rsidRDefault="00115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E" w:rsidRDefault="00115D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E" w:rsidRDefault="00115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1B" w:rsidRDefault="00FA681B" w:rsidP="004C083E">
      <w:pPr>
        <w:spacing w:after="0" w:line="240" w:lineRule="auto"/>
      </w:pPr>
      <w:r>
        <w:separator/>
      </w:r>
    </w:p>
  </w:footnote>
  <w:footnote w:type="continuationSeparator" w:id="0">
    <w:p w:rsidR="00FA681B" w:rsidRDefault="00FA681B" w:rsidP="004C0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10"/>
    <w:lvl w:ilvl="0">
      <w:start w:val="6"/>
      <w:numFmt w:val="decimal"/>
      <w:lvlText w:val="%1."/>
      <w:lvlJc w:val="left"/>
      <w:pPr>
        <w:tabs>
          <w:tab w:val="num" w:pos="786"/>
        </w:tabs>
        <w:ind w:left="786" w:hanging="360"/>
      </w:pPr>
    </w:lvl>
  </w:abstractNum>
  <w:abstractNum w:abstractNumId="6">
    <w:nsid w:val="00000007"/>
    <w:multiLevelType w:val="singleLevel"/>
    <w:tmpl w:val="00000007"/>
    <w:name w:val="WW8Num11"/>
    <w:lvl w:ilvl="0">
      <w:start w:val="1"/>
      <w:numFmt w:val="decimal"/>
      <w:lvlText w:val="%1."/>
      <w:lvlJc w:val="left"/>
      <w:pPr>
        <w:tabs>
          <w:tab w:val="num" w:pos="786"/>
        </w:tabs>
        <w:ind w:left="786" w:hanging="360"/>
      </w:pPr>
    </w:lvl>
  </w:abstractNum>
  <w:abstractNum w:abstractNumId="7">
    <w:nsid w:val="0000000A"/>
    <w:multiLevelType w:val="singleLevel"/>
    <w:tmpl w:val="0000000A"/>
    <w:name w:val="WW8Num12"/>
    <w:lvl w:ilvl="0">
      <w:start w:val="12"/>
      <w:numFmt w:val="bullet"/>
      <w:lvlText w:val="-"/>
      <w:lvlJc w:val="left"/>
      <w:pPr>
        <w:tabs>
          <w:tab w:val="num" w:pos="360"/>
        </w:tabs>
        <w:ind w:left="360" w:hanging="360"/>
      </w:pPr>
      <w:rPr>
        <w:rFonts w:ascii="OpenSymbol" w:hAnsi="OpenSymbol"/>
      </w:rPr>
    </w:lvl>
  </w:abstractNum>
  <w:abstractNum w:abstractNumId="8">
    <w:nsid w:val="0000000D"/>
    <w:multiLevelType w:val="singleLevel"/>
    <w:tmpl w:val="0000000D"/>
    <w:name w:val="WW8Num15"/>
    <w:lvl w:ilvl="0">
      <w:start w:val="1"/>
      <w:numFmt w:val="bullet"/>
      <w:lvlText w:val=""/>
      <w:lvlJc w:val="left"/>
      <w:pPr>
        <w:tabs>
          <w:tab w:val="num" w:pos="720"/>
        </w:tabs>
        <w:ind w:left="720" w:hanging="360"/>
      </w:pPr>
      <w:rPr>
        <w:rFonts w:ascii="Wingdings" w:hAnsi="Wingdings"/>
      </w:rPr>
    </w:lvl>
  </w:abstractNum>
  <w:abstractNum w:abstractNumId="9">
    <w:nsid w:val="00458953"/>
    <w:multiLevelType w:val="singleLevel"/>
    <w:tmpl w:val="7D183DD0"/>
    <w:lvl w:ilvl="0">
      <w:start w:val="1"/>
      <w:numFmt w:val="decimal"/>
      <w:lvlText w:val="%1."/>
      <w:lvlJc w:val="left"/>
      <w:pPr>
        <w:tabs>
          <w:tab w:val="num" w:pos="720"/>
        </w:tabs>
        <w:ind w:left="720" w:hanging="360"/>
      </w:pPr>
      <w:rPr>
        <w:rFonts w:ascii="Tahoma" w:hAnsi="Tahoma" w:cs="Tahoma"/>
        <w:snapToGrid/>
        <w:spacing w:val="10"/>
        <w:sz w:val="18"/>
        <w:szCs w:val="18"/>
      </w:rPr>
    </w:lvl>
  </w:abstractNum>
  <w:abstractNum w:abstractNumId="10">
    <w:nsid w:val="00572551"/>
    <w:multiLevelType w:val="hybridMultilevel"/>
    <w:tmpl w:val="A634B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07A4B59"/>
    <w:multiLevelType w:val="singleLevel"/>
    <w:tmpl w:val="43A52EF4"/>
    <w:lvl w:ilvl="0">
      <w:start w:val="1"/>
      <w:numFmt w:val="decimal"/>
      <w:lvlText w:val="%1."/>
      <w:lvlJc w:val="left"/>
      <w:pPr>
        <w:tabs>
          <w:tab w:val="num" w:pos="504"/>
        </w:tabs>
        <w:ind w:left="504" w:hanging="360"/>
      </w:pPr>
      <w:rPr>
        <w:rFonts w:ascii="Tahoma" w:hAnsi="Tahoma" w:cs="Tahoma"/>
        <w:snapToGrid/>
        <w:sz w:val="18"/>
        <w:szCs w:val="18"/>
      </w:rPr>
    </w:lvl>
  </w:abstractNum>
  <w:abstractNum w:abstractNumId="12">
    <w:nsid w:val="00CCD1B6"/>
    <w:multiLevelType w:val="singleLevel"/>
    <w:tmpl w:val="2CB92AC2"/>
    <w:lvl w:ilvl="0">
      <w:start w:val="1"/>
      <w:numFmt w:val="decimal"/>
      <w:lvlText w:val="%1."/>
      <w:lvlJc w:val="left"/>
      <w:pPr>
        <w:tabs>
          <w:tab w:val="num" w:pos="504"/>
        </w:tabs>
        <w:ind w:left="504" w:hanging="360"/>
      </w:pPr>
      <w:rPr>
        <w:rFonts w:ascii="Tahoma" w:hAnsi="Tahoma" w:cs="Tahoma"/>
        <w:snapToGrid/>
        <w:spacing w:val="11"/>
        <w:sz w:val="18"/>
        <w:szCs w:val="18"/>
      </w:rPr>
    </w:lvl>
  </w:abstractNum>
  <w:abstractNum w:abstractNumId="13">
    <w:nsid w:val="00D87AB1"/>
    <w:multiLevelType w:val="singleLevel"/>
    <w:tmpl w:val="7316E7C1"/>
    <w:lvl w:ilvl="0">
      <w:start w:val="8"/>
      <w:numFmt w:val="decimal"/>
      <w:lvlText w:val="%1."/>
      <w:lvlJc w:val="left"/>
      <w:pPr>
        <w:tabs>
          <w:tab w:val="num" w:pos="504"/>
        </w:tabs>
        <w:ind w:left="504" w:hanging="360"/>
      </w:pPr>
      <w:rPr>
        <w:rFonts w:ascii="Tahoma" w:hAnsi="Tahoma" w:cs="Tahoma"/>
        <w:snapToGrid/>
        <w:spacing w:val="10"/>
        <w:sz w:val="18"/>
        <w:szCs w:val="18"/>
      </w:rPr>
    </w:lvl>
  </w:abstractNum>
  <w:abstractNum w:abstractNumId="14">
    <w:nsid w:val="025F4050"/>
    <w:multiLevelType w:val="singleLevel"/>
    <w:tmpl w:val="5491E850"/>
    <w:lvl w:ilvl="0">
      <w:start w:val="1"/>
      <w:numFmt w:val="decimal"/>
      <w:lvlText w:val="%1."/>
      <w:lvlJc w:val="left"/>
      <w:pPr>
        <w:tabs>
          <w:tab w:val="num" w:pos="504"/>
        </w:tabs>
        <w:ind w:left="504" w:hanging="360"/>
      </w:pPr>
      <w:rPr>
        <w:rFonts w:ascii="Tahoma" w:hAnsi="Tahoma" w:cs="Tahoma"/>
        <w:snapToGrid/>
        <w:spacing w:val="10"/>
        <w:sz w:val="18"/>
        <w:szCs w:val="18"/>
      </w:rPr>
    </w:lvl>
  </w:abstractNum>
  <w:abstractNum w:abstractNumId="15">
    <w:nsid w:val="0613BD8E"/>
    <w:multiLevelType w:val="singleLevel"/>
    <w:tmpl w:val="24D12687"/>
    <w:lvl w:ilvl="0">
      <w:start w:val="1"/>
      <w:numFmt w:val="decimal"/>
      <w:lvlText w:val="%1."/>
      <w:lvlJc w:val="left"/>
      <w:pPr>
        <w:tabs>
          <w:tab w:val="num" w:pos="648"/>
        </w:tabs>
        <w:ind w:left="648" w:hanging="360"/>
      </w:pPr>
      <w:rPr>
        <w:rFonts w:ascii="Tahoma" w:hAnsi="Tahoma" w:cs="Tahoma"/>
        <w:snapToGrid/>
        <w:spacing w:val="10"/>
        <w:sz w:val="18"/>
        <w:szCs w:val="18"/>
      </w:rPr>
    </w:lvl>
  </w:abstractNum>
  <w:abstractNum w:abstractNumId="16">
    <w:nsid w:val="07DF559B"/>
    <w:multiLevelType w:val="singleLevel"/>
    <w:tmpl w:val="3D2533C0"/>
    <w:lvl w:ilvl="0">
      <w:start w:val="4"/>
      <w:numFmt w:val="decimal"/>
      <w:lvlText w:val="%1."/>
      <w:lvlJc w:val="left"/>
      <w:pPr>
        <w:tabs>
          <w:tab w:val="num" w:pos="648"/>
        </w:tabs>
        <w:ind w:left="648" w:hanging="360"/>
      </w:pPr>
      <w:rPr>
        <w:rFonts w:ascii="Tahoma" w:hAnsi="Tahoma" w:cs="Tahoma"/>
        <w:snapToGrid/>
        <w:spacing w:val="10"/>
        <w:sz w:val="18"/>
        <w:szCs w:val="18"/>
      </w:rPr>
    </w:lvl>
  </w:abstractNum>
  <w:abstractNum w:abstractNumId="17">
    <w:nsid w:val="1E084EB9"/>
    <w:multiLevelType w:val="multilevel"/>
    <w:tmpl w:val="C62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D656B5"/>
    <w:multiLevelType w:val="multilevel"/>
    <w:tmpl w:val="44E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10B55"/>
    <w:multiLevelType w:val="hybridMultilevel"/>
    <w:tmpl w:val="A90CE11C"/>
    <w:lvl w:ilvl="0" w:tplc="230E30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2034688"/>
    <w:multiLevelType w:val="multilevel"/>
    <w:tmpl w:val="392818C2"/>
    <w:lvl w:ilvl="0">
      <w:start w:val="1"/>
      <w:numFmt w:val="bullet"/>
      <w:pStyle w:val="Nagwek1"/>
      <w:lvlText w:val=""/>
      <w:lvlJc w:val="left"/>
      <w:pPr>
        <w:tabs>
          <w:tab w:val="num" w:pos="720"/>
        </w:tabs>
        <w:ind w:left="720" w:hanging="360"/>
      </w:pPr>
      <w:rPr>
        <w:rFonts w:ascii="Symbol" w:hAnsi="Symbol" w:hint="default"/>
        <w:sz w:val="20"/>
      </w:rPr>
    </w:lvl>
    <w:lvl w:ilvl="1" w:tentative="1">
      <w:start w:val="1"/>
      <w:numFmt w:val="bullet"/>
      <w:pStyle w:val="Nagwek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8"/>
  </w:num>
  <w:num w:numId="4">
    <w:abstractNumId w:val="0"/>
  </w:num>
  <w:num w:numId="5">
    <w:abstractNumId w:val="7"/>
  </w:num>
  <w:num w:numId="6">
    <w:abstractNumId w:val="8"/>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3"/>
  </w:num>
  <w:num w:numId="15">
    <w:abstractNumId w:val="12"/>
  </w:num>
  <w:num w:numId="16">
    <w:abstractNumId w:val="11"/>
  </w:num>
  <w:num w:numId="17">
    <w:abstractNumId w:val="14"/>
  </w:num>
  <w:num w:numId="18">
    <w:abstractNumId w:val="16"/>
  </w:num>
  <w:num w:numId="19">
    <w:abstractNumId w:val="15"/>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2B"/>
    <w:rsid w:val="00115D8E"/>
    <w:rsid w:val="001D689D"/>
    <w:rsid w:val="003212E2"/>
    <w:rsid w:val="00392B3E"/>
    <w:rsid w:val="004167FF"/>
    <w:rsid w:val="004C083E"/>
    <w:rsid w:val="004C6AB6"/>
    <w:rsid w:val="004F1228"/>
    <w:rsid w:val="005174F0"/>
    <w:rsid w:val="005E5902"/>
    <w:rsid w:val="005F2FCC"/>
    <w:rsid w:val="0064601B"/>
    <w:rsid w:val="007C49E7"/>
    <w:rsid w:val="0083702D"/>
    <w:rsid w:val="0084021E"/>
    <w:rsid w:val="00917E8A"/>
    <w:rsid w:val="0092470C"/>
    <w:rsid w:val="009B358A"/>
    <w:rsid w:val="00B4480C"/>
    <w:rsid w:val="00BB3432"/>
    <w:rsid w:val="00C43340"/>
    <w:rsid w:val="00E06E2B"/>
    <w:rsid w:val="00E61D86"/>
    <w:rsid w:val="00E85129"/>
    <w:rsid w:val="00EC2683"/>
    <w:rsid w:val="00FA6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E2B"/>
  </w:style>
  <w:style w:type="paragraph" w:styleId="Nagwek1">
    <w:name w:val="heading 1"/>
    <w:basedOn w:val="Normalny"/>
    <w:next w:val="Tekstpodstawowy"/>
    <w:link w:val="Nagwek1Znak"/>
    <w:qFormat/>
    <w:rsid w:val="004C083E"/>
    <w:pPr>
      <w:keepNext/>
      <w:numPr>
        <w:numId w:val="1"/>
      </w:numPr>
      <w:suppressAutoHyphens/>
      <w:spacing w:before="240" w:after="120" w:line="240" w:lineRule="auto"/>
      <w:outlineLvl w:val="0"/>
    </w:pPr>
    <w:rPr>
      <w:rFonts w:ascii="Arial" w:eastAsia="Lucida Sans Unicode" w:hAnsi="Arial" w:cs="Tahoma"/>
      <w:b/>
      <w:bCs/>
      <w:sz w:val="32"/>
      <w:szCs w:val="32"/>
      <w:lang w:eastAsia="ar-SA"/>
    </w:rPr>
  </w:style>
  <w:style w:type="paragraph" w:styleId="Nagwek2">
    <w:name w:val="heading 2"/>
    <w:basedOn w:val="Normalny"/>
    <w:next w:val="Tekstpodstawowy"/>
    <w:link w:val="Nagwek2Znak"/>
    <w:qFormat/>
    <w:rsid w:val="004C083E"/>
    <w:pPr>
      <w:keepNext/>
      <w:numPr>
        <w:ilvl w:val="1"/>
        <w:numId w:val="1"/>
      </w:numPr>
      <w:suppressAutoHyphens/>
      <w:spacing w:before="240" w:after="120" w:line="240" w:lineRule="auto"/>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B358A"/>
    <w:rPr>
      <w:b/>
      <w:bCs/>
    </w:rPr>
  </w:style>
  <w:style w:type="character" w:styleId="Hipercze">
    <w:name w:val="Hyperlink"/>
    <w:basedOn w:val="Domylnaczcionkaakapitu"/>
    <w:uiPriority w:val="99"/>
    <w:unhideWhenUsed/>
    <w:rsid w:val="009B358A"/>
    <w:rPr>
      <w:color w:val="0000FF"/>
      <w:u w:val="single"/>
    </w:rPr>
  </w:style>
  <w:style w:type="paragraph" w:styleId="NormalnyWeb">
    <w:name w:val="Normal (Web)"/>
    <w:basedOn w:val="Normalny"/>
    <w:uiPriority w:val="99"/>
    <w:unhideWhenUsed/>
    <w:rsid w:val="009B35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C083E"/>
    <w:rPr>
      <w:rFonts w:ascii="Arial" w:eastAsia="Lucida Sans Unicode" w:hAnsi="Arial" w:cs="Tahoma"/>
      <w:b/>
      <w:bCs/>
      <w:sz w:val="32"/>
      <w:szCs w:val="32"/>
      <w:lang w:eastAsia="ar-SA"/>
    </w:rPr>
  </w:style>
  <w:style w:type="character" w:customStyle="1" w:styleId="Nagwek2Znak">
    <w:name w:val="Nagłówek 2 Znak"/>
    <w:basedOn w:val="Domylnaczcionkaakapitu"/>
    <w:link w:val="Nagwek2"/>
    <w:rsid w:val="004C083E"/>
    <w:rPr>
      <w:rFonts w:ascii="Arial" w:eastAsia="Lucida Sans Unicode" w:hAnsi="Arial" w:cs="Tahoma"/>
      <w:b/>
      <w:bCs/>
      <w:i/>
      <w:iCs/>
      <w:sz w:val="28"/>
      <w:szCs w:val="28"/>
      <w:lang w:eastAsia="ar-SA"/>
    </w:rPr>
  </w:style>
  <w:style w:type="character" w:styleId="Numerstrony">
    <w:name w:val="page number"/>
    <w:basedOn w:val="Domylnaczcionkaakapitu"/>
    <w:rsid w:val="004C083E"/>
  </w:style>
  <w:style w:type="character" w:customStyle="1" w:styleId="Znakiprzypiswdolnych">
    <w:name w:val="Znaki przypisów dolnych"/>
    <w:rsid w:val="004C083E"/>
    <w:rPr>
      <w:vertAlign w:val="superscript"/>
    </w:rPr>
  </w:style>
  <w:style w:type="paragraph" w:styleId="Tekstpodstawowy">
    <w:name w:val="Body Text"/>
    <w:basedOn w:val="Normalny"/>
    <w:link w:val="TekstpodstawowyZnak"/>
    <w:rsid w:val="004C083E"/>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4C083E"/>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4C083E"/>
    <w:pPr>
      <w:suppressAutoHyphens/>
      <w:spacing w:after="0" w:line="240" w:lineRule="auto"/>
    </w:pPr>
    <w:rPr>
      <w:rFonts w:ascii="Times New Roman" w:eastAsia="Times New Roman" w:hAnsi="Times New Roman" w:cs="Times New Roman"/>
      <w:i/>
      <w:sz w:val="24"/>
      <w:szCs w:val="20"/>
      <w:lang w:eastAsia="ar-SA"/>
    </w:rPr>
  </w:style>
  <w:style w:type="paragraph" w:styleId="Stopka">
    <w:name w:val="footer"/>
    <w:basedOn w:val="Normalny"/>
    <w:link w:val="StopkaZnak"/>
    <w:rsid w:val="004C083E"/>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C083E"/>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rsid w:val="004C08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4C083E"/>
    <w:rPr>
      <w:rFonts w:ascii="Times New Roman" w:eastAsia="Times New Roman" w:hAnsi="Times New Roman" w:cs="Times New Roman"/>
      <w:sz w:val="20"/>
      <w:szCs w:val="20"/>
      <w:lang w:eastAsia="ar-SA"/>
    </w:rPr>
  </w:style>
  <w:style w:type="paragraph" w:styleId="Nagwek">
    <w:name w:val="header"/>
    <w:basedOn w:val="Normalny"/>
    <w:link w:val="NagwekZnak"/>
    <w:rsid w:val="004C083E"/>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4C083E"/>
    <w:rPr>
      <w:rFonts w:ascii="Times New Roman" w:eastAsia="Times New Roman" w:hAnsi="Times New Roman" w:cs="Times New Roman"/>
      <w:sz w:val="24"/>
      <w:szCs w:val="20"/>
      <w:lang w:eastAsia="ar-SA"/>
    </w:rPr>
  </w:style>
  <w:style w:type="paragraph" w:styleId="Nagwekspisutreci">
    <w:name w:val="TOC Heading"/>
    <w:basedOn w:val="Normalny"/>
    <w:uiPriority w:val="39"/>
    <w:qFormat/>
    <w:rsid w:val="004C083E"/>
    <w:pPr>
      <w:keepNext/>
      <w:suppressLineNumbers/>
      <w:suppressAutoHyphens/>
      <w:spacing w:before="240" w:after="120" w:line="240" w:lineRule="auto"/>
    </w:pPr>
    <w:rPr>
      <w:rFonts w:ascii="Arial" w:eastAsia="Lucida Sans Unicode" w:hAnsi="Arial" w:cs="Tahoma"/>
      <w:b/>
      <w:bCs/>
      <w:sz w:val="32"/>
      <w:szCs w:val="32"/>
      <w:lang w:eastAsia="ar-SA"/>
    </w:rPr>
  </w:style>
  <w:style w:type="paragraph" w:styleId="Spistreci1">
    <w:name w:val="toc 1"/>
    <w:basedOn w:val="Normalny"/>
    <w:uiPriority w:val="39"/>
    <w:rsid w:val="004C083E"/>
    <w:pPr>
      <w:suppressLineNumbers/>
      <w:tabs>
        <w:tab w:val="right" w:leader="dot" w:pos="9638"/>
      </w:tabs>
      <w:suppressAutoHyphens/>
      <w:spacing w:after="0" w:line="240" w:lineRule="auto"/>
    </w:pPr>
    <w:rPr>
      <w:rFonts w:ascii="Times New Roman" w:eastAsia="Times New Roman" w:hAnsi="Times New Roman" w:cs="Tahoma"/>
      <w:sz w:val="24"/>
      <w:szCs w:val="20"/>
      <w:lang w:eastAsia="ar-SA"/>
    </w:rPr>
  </w:style>
  <w:style w:type="paragraph" w:styleId="Spistreci2">
    <w:name w:val="toc 2"/>
    <w:basedOn w:val="Normalny"/>
    <w:uiPriority w:val="39"/>
    <w:rsid w:val="004C083E"/>
    <w:pPr>
      <w:suppressLineNumbers/>
      <w:tabs>
        <w:tab w:val="right" w:leader="dot" w:pos="9921"/>
      </w:tabs>
      <w:suppressAutoHyphens/>
      <w:spacing w:after="0" w:line="240" w:lineRule="auto"/>
      <w:ind w:left="283"/>
    </w:pPr>
    <w:rPr>
      <w:rFonts w:ascii="Times New Roman" w:eastAsia="Times New Roman" w:hAnsi="Times New Roman" w:cs="Tahoma"/>
      <w:sz w:val="24"/>
      <w:szCs w:val="20"/>
      <w:lang w:eastAsia="ar-SA"/>
    </w:rPr>
  </w:style>
  <w:style w:type="table" w:styleId="Tabela-Siatka">
    <w:name w:val="Table Grid"/>
    <w:basedOn w:val="Standardowy"/>
    <w:uiPriority w:val="59"/>
    <w:rsid w:val="00EC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2683"/>
    <w:pPr>
      <w:suppressAutoHyphens/>
      <w:spacing w:after="200" w:line="276" w:lineRule="auto"/>
      <w:ind w:left="720"/>
    </w:pPr>
    <w:rPr>
      <w:rFonts w:ascii="Calibri" w:eastAsia="Calibri" w:hAnsi="Calibri" w:cs="Calibri"/>
      <w:lang w:eastAsia="ar-SA"/>
    </w:rPr>
  </w:style>
  <w:style w:type="paragraph" w:styleId="Tekstdymka">
    <w:name w:val="Balloon Text"/>
    <w:basedOn w:val="Normalny"/>
    <w:link w:val="TekstdymkaZnak"/>
    <w:uiPriority w:val="99"/>
    <w:semiHidden/>
    <w:unhideWhenUsed/>
    <w:rsid w:val="008370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0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E2B"/>
  </w:style>
  <w:style w:type="paragraph" w:styleId="Nagwek1">
    <w:name w:val="heading 1"/>
    <w:basedOn w:val="Normalny"/>
    <w:next w:val="Tekstpodstawowy"/>
    <w:link w:val="Nagwek1Znak"/>
    <w:qFormat/>
    <w:rsid w:val="004C083E"/>
    <w:pPr>
      <w:keepNext/>
      <w:numPr>
        <w:numId w:val="1"/>
      </w:numPr>
      <w:suppressAutoHyphens/>
      <w:spacing w:before="240" w:after="120" w:line="240" w:lineRule="auto"/>
      <w:outlineLvl w:val="0"/>
    </w:pPr>
    <w:rPr>
      <w:rFonts w:ascii="Arial" w:eastAsia="Lucida Sans Unicode" w:hAnsi="Arial" w:cs="Tahoma"/>
      <w:b/>
      <w:bCs/>
      <w:sz w:val="32"/>
      <w:szCs w:val="32"/>
      <w:lang w:eastAsia="ar-SA"/>
    </w:rPr>
  </w:style>
  <w:style w:type="paragraph" w:styleId="Nagwek2">
    <w:name w:val="heading 2"/>
    <w:basedOn w:val="Normalny"/>
    <w:next w:val="Tekstpodstawowy"/>
    <w:link w:val="Nagwek2Znak"/>
    <w:qFormat/>
    <w:rsid w:val="004C083E"/>
    <w:pPr>
      <w:keepNext/>
      <w:numPr>
        <w:ilvl w:val="1"/>
        <w:numId w:val="1"/>
      </w:numPr>
      <w:suppressAutoHyphens/>
      <w:spacing w:before="240" w:after="120" w:line="240" w:lineRule="auto"/>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B358A"/>
    <w:rPr>
      <w:b/>
      <w:bCs/>
    </w:rPr>
  </w:style>
  <w:style w:type="character" w:styleId="Hipercze">
    <w:name w:val="Hyperlink"/>
    <w:basedOn w:val="Domylnaczcionkaakapitu"/>
    <w:uiPriority w:val="99"/>
    <w:unhideWhenUsed/>
    <w:rsid w:val="009B358A"/>
    <w:rPr>
      <w:color w:val="0000FF"/>
      <w:u w:val="single"/>
    </w:rPr>
  </w:style>
  <w:style w:type="paragraph" w:styleId="NormalnyWeb">
    <w:name w:val="Normal (Web)"/>
    <w:basedOn w:val="Normalny"/>
    <w:uiPriority w:val="99"/>
    <w:unhideWhenUsed/>
    <w:rsid w:val="009B35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C083E"/>
    <w:rPr>
      <w:rFonts w:ascii="Arial" w:eastAsia="Lucida Sans Unicode" w:hAnsi="Arial" w:cs="Tahoma"/>
      <w:b/>
      <w:bCs/>
      <w:sz w:val="32"/>
      <w:szCs w:val="32"/>
      <w:lang w:eastAsia="ar-SA"/>
    </w:rPr>
  </w:style>
  <w:style w:type="character" w:customStyle="1" w:styleId="Nagwek2Znak">
    <w:name w:val="Nagłówek 2 Znak"/>
    <w:basedOn w:val="Domylnaczcionkaakapitu"/>
    <w:link w:val="Nagwek2"/>
    <w:rsid w:val="004C083E"/>
    <w:rPr>
      <w:rFonts w:ascii="Arial" w:eastAsia="Lucida Sans Unicode" w:hAnsi="Arial" w:cs="Tahoma"/>
      <w:b/>
      <w:bCs/>
      <w:i/>
      <w:iCs/>
      <w:sz w:val="28"/>
      <w:szCs w:val="28"/>
      <w:lang w:eastAsia="ar-SA"/>
    </w:rPr>
  </w:style>
  <w:style w:type="character" w:styleId="Numerstrony">
    <w:name w:val="page number"/>
    <w:basedOn w:val="Domylnaczcionkaakapitu"/>
    <w:rsid w:val="004C083E"/>
  </w:style>
  <w:style w:type="character" w:customStyle="1" w:styleId="Znakiprzypiswdolnych">
    <w:name w:val="Znaki przypisów dolnych"/>
    <w:rsid w:val="004C083E"/>
    <w:rPr>
      <w:vertAlign w:val="superscript"/>
    </w:rPr>
  </w:style>
  <w:style w:type="paragraph" w:styleId="Tekstpodstawowy">
    <w:name w:val="Body Text"/>
    <w:basedOn w:val="Normalny"/>
    <w:link w:val="TekstpodstawowyZnak"/>
    <w:rsid w:val="004C083E"/>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4C083E"/>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4C083E"/>
    <w:pPr>
      <w:suppressAutoHyphens/>
      <w:spacing w:after="0" w:line="240" w:lineRule="auto"/>
    </w:pPr>
    <w:rPr>
      <w:rFonts w:ascii="Times New Roman" w:eastAsia="Times New Roman" w:hAnsi="Times New Roman" w:cs="Times New Roman"/>
      <w:i/>
      <w:sz w:val="24"/>
      <w:szCs w:val="20"/>
      <w:lang w:eastAsia="ar-SA"/>
    </w:rPr>
  </w:style>
  <w:style w:type="paragraph" w:styleId="Stopka">
    <w:name w:val="footer"/>
    <w:basedOn w:val="Normalny"/>
    <w:link w:val="StopkaZnak"/>
    <w:rsid w:val="004C083E"/>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C083E"/>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rsid w:val="004C08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4C083E"/>
    <w:rPr>
      <w:rFonts w:ascii="Times New Roman" w:eastAsia="Times New Roman" w:hAnsi="Times New Roman" w:cs="Times New Roman"/>
      <w:sz w:val="20"/>
      <w:szCs w:val="20"/>
      <w:lang w:eastAsia="ar-SA"/>
    </w:rPr>
  </w:style>
  <w:style w:type="paragraph" w:styleId="Nagwek">
    <w:name w:val="header"/>
    <w:basedOn w:val="Normalny"/>
    <w:link w:val="NagwekZnak"/>
    <w:rsid w:val="004C083E"/>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4C083E"/>
    <w:rPr>
      <w:rFonts w:ascii="Times New Roman" w:eastAsia="Times New Roman" w:hAnsi="Times New Roman" w:cs="Times New Roman"/>
      <w:sz w:val="24"/>
      <w:szCs w:val="20"/>
      <w:lang w:eastAsia="ar-SA"/>
    </w:rPr>
  </w:style>
  <w:style w:type="paragraph" w:styleId="Nagwekspisutreci">
    <w:name w:val="TOC Heading"/>
    <w:basedOn w:val="Normalny"/>
    <w:uiPriority w:val="39"/>
    <w:qFormat/>
    <w:rsid w:val="004C083E"/>
    <w:pPr>
      <w:keepNext/>
      <w:suppressLineNumbers/>
      <w:suppressAutoHyphens/>
      <w:spacing w:before="240" w:after="120" w:line="240" w:lineRule="auto"/>
    </w:pPr>
    <w:rPr>
      <w:rFonts w:ascii="Arial" w:eastAsia="Lucida Sans Unicode" w:hAnsi="Arial" w:cs="Tahoma"/>
      <w:b/>
      <w:bCs/>
      <w:sz w:val="32"/>
      <w:szCs w:val="32"/>
      <w:lang w:eastAsia="ar-SA"/>
    </w:rPr>
  </w:style>
  <w:style w:type="paragraph" w:styleId="Spistreci1">
    <w:name w:val="toc 1"/>
    <w:basedOn w:val="Normalny"/>
    <w:uiPriority w:val="39"/>
    <w:rsid w:val="004C083E"/>
    <w:pPr>
      <w:suppressLineNumbers/>
      <w:tabs>
        <w:tab w:val="right" w:leader="dot" w:pos="9638"/>
      </w:tabs>
      <w:suppressAutoHyphens/>
      <w:spacing w:after="0" w:line="240" w:lineRule="auto"/>
    </w:pPr>
    <w:rPr>
      <w:rFonts w:ascii="Times New Roman" w:eastAsia="Times New Roman" w:hAnsi="Times New Roman" w:cs="Tahoma"/>
      <w:sz w:val="24"/>
      <w:szCs w:val="20"/>
      <w:lang w:eastAsia="ar-SA"/>
    </w:rPr>
  </w:style>
  <w:style w:type="paragraph" w:styleId="Spistreci2">
    <w:name w:val="toc 2"/>
    <w:basedOn w:val="Normalny"/>
    <w:uiPriority w:val="39"/>
    <w:rsid w:val="004C083E"/>
    <w:pPr>
      <w:suppressLineNumbers/>
      <w:tabs>
        <w:tab w:val="right" w:leader="dot" w:pos="9921"/>
      </w:tabs>
      <w:suppressAutoHyphens/>
      <w:spacing w:after="0" w:line="240" w:lineRule="auto"/>
      <w:ind w:left="283"/>
    </w:pPr>
    <w:rPr>
      <w:rFonts w:ascii="Times New Roman" w:eastAsia="Times New Roman" w:hAnsi="Times New Roman" w:cs="Tahoma"/>
      <w:sz w:val="24"/>
      <w:szCs w:val="20"/>
      <w:lang w:eastAsia="ar-SA"/>
    </w:rPr>
  </w:style>
  <w:style w:type="table" w:styleId="Tabela-Siatka">
    <w:name w:val="Table Grid"/>
    <w:basedOn w:val="Standardowy"/>
    <w:uiPriority w:val="59"/>
    <w:rsid w:val="00EC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2683"/>
    <w:pPr>
      <w:suppressAutoHyphens/>
      <w:spacing w:after="200" w:line="276" w:lineRule="auto"/>
      <w:ind w:left="720"/>
    </w:pPr>
    <w:rPr>
      <w:rFonts w:ascii="Calibri" w:eastAsia="Calibri" w:hAnsi="Calibri" w:cs="Calibri"/>
      <w:lang w:eastAsia="ar-SA"/>
    </w:rPr>
  </w:style>
  <w:style w:type="paragraph" w:styleId="Tekstdymka">
    <w:name w:val="Balloon Text"/>
    <w:basedOn w:val="Normalny"/>
    <w:link w:val="TekstdymkaZnak"/>
    <w:uiPriority w:val="99"/>
    <w:semiHidden/>
    <w:unhideWhenUsed/>
    <w:rsid w:val="008370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4496">
      <w:bodyDiv w:val="1"/>
      <w:marLeft w:val="0"/>
      <w:marRight w:val="0"/>
      <w:marTop w:val="0"/>
      <w:marBottom w:val="0"/>
      <w:divBdr>
        <w:top w:val="none" w:sz="0" w:space="0" w:color="auto"/>
        <w:left w:val="none" w:sz="0" w:space="0" w:color="auto"/>
        <w:bottom w:val="none" w:sz="0" w:space="0" w:color="auto"/>
        <w:right w:val="none" w:sz="0" w:space="0" w:color="auto"/>
      </w:divBdr>
    </w:div>
    <w:div w:id="282736974">
      <w:bodyDiv w:val="1"/>
      <w:marLeft w:val="0"/>
      <w:marRight w:val="0"/>
      <w:marTop w:val="0"/>
      <w:marBottom w:val="0"/>
      <w:divBdr>
        <w:top w:val="none" w:sz="0" w:space="0" w:color="auto"/>
        <w:left w:val="none" w:sz="0" w:space="0" w:color="auto"/>
        <w:bottom w:val="none" w:sz="0" w:space="0" w:color="auto"/>
        <w:right w:val="none" w:sz="0" w:space="0" w:color="auto"/>
      </w:divBdr>
    </w:div>
    <w:div w:id="394624036">
      <w:bodyDiv w:val="1"/>
      <w:marLeft w:val="0"/>
      <w:marRight w:val="0"/>
      <w:marTop w:val="0"/>
      <w:marBottom w:val="0"/>
      <w:divBdr>
        <w:top w:val="none" w:sz="0" w:space="0" w:color="auto"/>
        <w:left w:val="none" w:sz="0" w:space="0" w:color="auto"/>
        <w:bottom w:val="none" w:sz="0" w:space="0" w:color="auto"/>
        <w:right w:val="none" w:sz="0" w:space="0" w:color="auto"/>
      </w:divBdr>
    </w:div>
    <w:div w:id="723138457">
      <w:bodyDiv w:val="1"/>
      <w:marLeft w:val="0"/>
      <w:marRight w:val="0"/>
      <w:marTop w:val="0"/>
      <w:marBottom w:val="0"/>
      <w:divBdr>
        <w:top w:val="none" w:sz="0" w:space="0" w:color="auto"/>
        <w:left w:val="none" w:sz="0" w:space="0" w:color="auto"/>
        <w:bottom w:val="none" w:sz="0" w:space="0" w:color="auto"/>
        <w:right w:val="none" w:sz="0" w:space="0" w:color="auto"/>
      </w:divBdr>
    </w:div>
    <w:div w:id="944969585">
      <w:bodyDiv w:val="1"/>
      <w:marLeft w:val="0"/>
      <w:marRight w:val="0"/>
      <w:marTop w:val="0"/>
      <w:marBottom w:val="0"/>
      <w:divBdr>
        <w:top w:val="none" w:sz="0" w:space="0" w:color="auto"/>
        <w:left w:val="none" w:sz="0" w:space="0" w:color="auto"/>
        <w:bottom w:val="none" w:sz="0" w:space="0" w:color="auto"/>
        <w:right w:val="none" w:sz="0" w:space="0" w:color="auto"/>
      </w:divBdr>
    </w:div>
    <w:div w:id="10127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A96B-575A-43FC-A0BC-A36F41F1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6893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Kubiak</dc:creator>
  <cp:lastModifiedBy>Tomasz Kubiak</cp:lastModifiedBy>
  <cp:revision>3</cp:revision>
  <cp:lastPrinted>2014-03-12T10:26:00Z</cp:lastPrinted>
  <dcterms:created xsi:type="dcterms:W3CDTF">2014-09-02T12:45:00Z</dcterms:created>
  <dcterms:modified xsi:type="dcterms:W3CDTF">2014-09-02T12:48:00Z</dcterms:modified>
</cp:coreProperties>
</file>